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8F" w:rsidRPr="00AA1F8F" w:rsidRDefault="00AA1F8F" w:rsidP="00AA1F8F">
      <w:pPr>
        <w:spacing w:after="0" w:line="480" w:lineRule="auto"/>
        <w:jc w:val="right"/>
        <w:rPr>
          <w:rFonts w:ascii="Arial" w:hAnsi="Arial" w:cs="Arial"/>
        </w:rPr>
      </w:pPr>
      <w:r>
        <w:rPr>
          <w:rFonts w:ascii="Arial" w:hAnsi="Arial" w:cs="Arial"/>
        </w:rPr>
        <w:t>4. melléklet</w:t>
      </w:r>
    </w:p>
    <w:p w:rsidR="00674F8D" w:rsidRPr="00674F8D" w:rsidRDefault="00674F8D" w:rsidP="00F21A67">
      <w:pPr>
        <w:spacing w:after="0" w:line="480" w:lineRule="auto"/>
        <w:jc w:val="center"/>
        <w:rPr>
          <w:rFonts w:ascii="Arial" w:hAnsi="Arial" w:cs="Arial"/>
          <w:b/>
        </w:rPr>
      </w:pPr>
      <w:r w:rsidRPr="00674F8D">
        <w:rPr>
          <w:rFonts w:ascii="Arial" w:hAnsi="Arial" w:cs="Arial"/>
          <w:b/>
        </w:rPr>
        <w:t>2017/2018. évi Budapest Ösztöndíj Program</w:t>
      </w:r>
    </w:p>
    <w:p w:rsidR="00674F8D" w:rsidRDefault="00674F8D" w:rsidP="00F21A67">
      <w:pPr>
        <w:spacing w:after="0" w:line="480" w:lineRule="auto"/>
        <w:jc w:val="center"/>
        <w:rPr>
          <w:rFonts w:ascii="Arial" w:hAnsi="Arial" w:cs="Arial"/>
          <w:b/>
        </w:rPr>
      </w:pPr>
      <w:r w:rsidRPr="00674F8D">
        <w:rPr>
          <w:rFonts w:ascii="Arial" w:hAnsi="Arial" w:cs="Arial"/>
          <w:b/>
        </w:rPr>
        <w:t>Választható szakdolgozati témakörök</w:t>
      </w:r>
    </w:p>
    <w:p w:rsidR="00674F8D" w:rsidRPr="00674F8D" w:rsidRDefault="00674F8D" w:rsidP="00F21A67">
      <w:pPr>
        <w:spacing w:after="0" w:line="480" w:lineRule="auto"/>
        <w:jc w:val="center"/>
        <w:rPr>
          <w:rFonts w:ascii="Arial" w:hAnsi="Arial" w:cs="Arial"/>
          <w:b/>
        </w:rPr>
      </w:pP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helyi adók rendszere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önkormányzati ellenőrzés lehetőségei az önkormányzati érdekkörbe tartozó gazdasági társaságok esetében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önkormányzati belső ellenőrzés javaslatainak nyomon követési rendszere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uniós forrásból megvalósuló szakaszolt projektek speciális szabályai, eljárásrendje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Stratégiai szempontok, szakági, szakpolitikai célok megvalósításának lehetőségei a közbeszerzésben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Budapest 2024 olimpiai pályázat esélyei nemzetközi összehasonlítással</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budapesti szabadidő- és versenysport intézményes kapcsolódási lehetőségei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Budapest korosztályokra épített szabadidősport-fejlesztési koncepciója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Budapest zöldfelület-megújítási lehetőségei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állami és önkormányzati kultúrafogyasztás közös céljai, lehetőségei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színházi finanszírozás nemzetközi modelljei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különböző művészeti területek közötti közvetítés, átjárás</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művészethez való kapcsolódás segítése, múzeumpedagógia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városmarketing helye és szerepe a közösségépítésben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Budapest nemzetközi megítélése a turisták és turistaszervezők között</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turizmusfejlesztés budapesti kihívásai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kulturális intézmények marketing tevékenységének vizsgálata nemzetközi trendek figyelembevételével</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megváltozott könyvtárhasználati szokások kihívásai, nemzetközi kitekintéssel</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fiatalok társadalmi részvételének elősegítése, a helyi ifjúsági munka és az ifjúságpolitika kapcsolata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 xml:space="preserve">Best </w:t>
      </w:r>
      <w:proofErr w:type="spellStart"/>
      <w:r w:rsidRPr="00674F8D">
        <w:rPr>
          <w:rFonts w:ascii="Arial" w:hAnsi="Arial" w:cs="Arial"/>
        </w:rPr>
        <w:t>practice</w:t>
      </w:r>
      <w:proofErr w:type="spellEnd"/>
      <w:r w:rsidRPr="00674F8D">
        <w:rPr>
          <w:rFonts w:ascii="Arial" w:hAnsi="Arial" w:cs="Arial"/>
        </w:rPr>
        <w:t>-ok a fővárosi tehetséggondozásban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lastRenderedPageBreak/>
        <w:t>Családbarát Budapest</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időskor időszerű szociálpolitikai kérdései és az ebből adódó feladatok</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Magánjog a közjog oldaláról, az önkormányzat a polgári jogi jogviszonyokban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Okiratszerkesztés és szerződéskötés a Fővárosi Önkormányzat gyakorlatában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fővárosban működő önkormányzati és nem önkormányzati oktatási, elsősorban szakképző intézmények jogutód intézményi rendszerének kutatással egybekötött vizsgálata, rendszerezése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Főpolgármesteri Hivatal irattárában elhelyezett vizsgadokumentumok elektronikus rendszerezésének, kezelésének lehetősége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Szociális ellátás és egészségügyi ellátás határterülete az idősgondozásban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intézményi modell átalakításának szükségessége a fokozott ápolást igénylő, tartósan fekvőbeteg ellátásra szoruló megnövekedett lakossági igények függvényében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Fővárosi Önkormányzat hajléktalan-ellátó rendszere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budapesti szabadidősport fejlesztésének lehetőségei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Sport és rekreációs célú fejlesztések lehetőségei a közparkokban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fővárosi önkormányzat költségvetési gazdálkodásának elemzése 2012-2016. években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önkormányzati rendeletalkotás és a rendeletek kihirdetésének szabályai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bizottságok működésének szabályozottsága, különös tekintettel az átruházott hatáskörökre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testületi határozatok végrehajtásának rendje a Főpolgármesteri Hivatalban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Főpolgármesteri Hivatal működése a normatív utasítások tükrében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Városháza műemléki épületegyüttes üzemeltetési rendszerének vizsgálata, korszerűsítése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Városháza műemléki épületegyüttes fejlesztése keretében Városháza Park és környező épületei fejlesztési lehetőségeinek elemzése, vizsgálata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településrendezés szabályozásának önkormányzati rendszere, nyilvántartása, gyakorlati alkalmazásának összefüggései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lastRenderedPageBreak/>
        <w:t>Történeti városrészek fejlődésének bemutatása, különös tekintettel a vizsgált területre ható történelmi, társadalmi, gazdasági folyamatoknak és az adott korok városfejlesztési elképzeléseinek elemzésére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Az építészeti örökségvédelem alatt álló építmények, területek értékőrző hasznosítása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Védett városrészek összképének alakulását befolyásoló jogszabályi, gazdasági, társadalmi stb. hatások vizsgálata; javaslat a negatív jelenségek megszüntetésére</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Energiatudatos értékőrzés lehetséges megoldásai az építészeti örökségvédelem területén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 xml:space="preserve">A Ráckevei-Soroksári Duna-ág </w:t>
      </w:r>
      <w:proofErr w:type="spellStart"/>
      <w:r w:rsidRPr="00674F8D">
        <w:rPr>
          <w:rFonts w:ascii="Arial" w:hAnsi="Arial" w:cs="Arial"/>
        </w:rPr>
        <w:t>revitalizációja</w:t>
      </w:r>
      <w:proofErr w:type="spellEnd"/>
      <w:r w:rsidRPr="00674F8D">
        <w:rPr>
          <w:rFonts w:ascii="Arial" w:hAnsi="Arial" w:cs="Arial"/>
        </w:rPr>
        <w:t>, rekreációs fejlesztése (terv)</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Duna szerepe Budapest turizmusában (tanulmány)</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Kisvízfolyások integrálása a városi szövetbe Budapesten (tanulmány vagy terv)</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Egy konkrét, fejlesztés vagy átalakulás előtt álló kiemelt fővárosi terület komplex tervezése a településfejlesztési és a településrendezési eszközök alkalmazásával</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Fővárosi közterület(ek) fejlesztésének komplex tervezése az önkormányzati infrastrukturális fejlesztésekkel összhangban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Üres vagy alulhasznosított önkormányzati tu</w:t>
      </w:r>
      <w:r w:rsidR="000B653F">
        <w:rPr>
          <w:rFonts w:ascii="Arial" w:hAnsi="Arial" w:cs="Arial"/>
        </w:rPr>
        <w:t>lajdonú ingatlanok – telek vagy</w:t>
      </w:r>
      <w:r w:rsidRPr="00674F8D">
        <w:rPr>
          <w:rFonts w:ascii="Arial" w:hAnsi="Arial" w:cs="Arial"/>
        </w:rPr>
        <w:t xml:space="preserve"> foghíjtelek vagy épület – fejlesztése közösségi funkcióval (pl. közterület, városi zöldfelület, szabadtéri sportterület, hajléktalanszállás, szociális bérlakás, zenei oktatási és nevelési központ, bentlakásos iskola, nyugdíjasház, co-house, co-</w:t>
      </w:r>
      <w:proofErr w:type="spellStart"/>
      <w:r w:rsidRPr="00674F8D">
        <w:rPr>
          <w:rFonts w:ascii="Arial" w:hAnsi="Arial" w:cs="Arial"/>
        </w:rPr>
        <w:t>working</w:t>
      </w:r>
      <w:proofErr w:type="spellEnd"/>
      <w:r w:rsidRPr="00674F8D">
        <w:rPr>
          <w:rFonts w:ascii="Arial" w:hAnsi="Arial" w:cs="Arial"/>
        </w:rPr>
        <w:t>, inkubátorház) vagy profittermelő hasznosítással (pl. szálloda, iroda, kereskedelem, parkolóház)</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Budapesti városi parkok terve (pl. zöldfelületi fejlesztés funkcióbővítéssel) vagy parkhasználati tanulmánya (pl. jelenlegi funkciókínálat és parkhasználati szokások felmérése, elemzése, illetve összevetése az újabb igényekkel, közparkok megítélése és látogatottsága, korábbi elemzések aktualizálása)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Városi innovatív zöldfelületek terve (pl. zöldfal, zöldtető, fenntartható rendszerek kialakításával) vagy tanulmány a budapesti tetőkertekről és zöldhomlokzatokról (pl. meglévő példák összegyűjtése, elemzése, javaslatok, szabályozás és annak módosítási lehetőségei)</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lastRenderedPageBreak/>
        <w:t>Budapesti fasorok terve vagy tanulmánya (pl. budapesti fasorok felmérése, útmenti fasorok darabszámainak meghatározása, minőségének vizsgálata, fasor felméréséhez távérzékelés vagy egyéb módszertan kidolgozása, új fasorok tervezése a városi zöldfelületi rendszer helyzetértékelése alapján)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Emblematikus közterületi berendezések arculati terve (pl. fővárosi infó pont, szezonális rendezvény vagy kereskedelmi pavilon, egyéb közterületi berendezési tárgyak, utcabútorok, egyedi köztéri dizájn elemek)</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Városi közterületek fejlődésének története (különös tekintettel a közterületek használatára, a változó társadalmi igényekre és a közterületen megjelenő funkciókra)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 xml:space="preserve">A fővárosi TÉR_KÖZ pályázat eredményei </w:t>
      </w:r>
      <w:r w:rsidR="000B653F">
        <w:rPr>
          <w:rFonts w:ascii="Arial" w:hAnsi="Arial" w:cs="Arial"/>
        </w:rPr>
        <w:t>és hatásai</w:t>
      </w:r>
      <w:bookmarkStart w:id="0" w:name="_GoBack"/>
      <w:bookmarkEnd w:id="0"/>
    </w:p>
    <w:p w:rsidR="005C20CE" w:rsidRPr="00674F8D" w:rsidRDefault="005C20CE" w:rsidP="00F21A67">
      <w:pPr>
        <w:pStyle w:val="Listaszerbekezds"/>
        <w:spacing w:after="0" w:line="480" w:lineRule="auto"/>
        <w:ind w:left="360"/>
        <w:jc w:val="both"/>
        <w:rPr>
          <w:rFonts w:ascii="Arial" w:hAnsi="Arial" w:cs="Arial"/>
        </w:rPr>
      </w:pPr>
      <w:r w:rsidRPr="00674F8D">
        <w:rPr>
          <w:rFonts w:ascii="Arial" w:hAnsi="Arial" w:cs="Arial"/>
        </w:rPr>
        <w:t>A TÉR_KÖZ pályázat megvalósult projektjeinek elemzése pl. társadalmi (közösségi részvétel a fejlesztésekben, közösségi tervezés tapasztalatai), gazdasági (profittermelő funkciók megjelenése, fenntartható</w:t>
      </w:r>
      <w:r w:rsidR="002B52C4">
        <w:rPr>
          <w:rFonts w:ascii="Arial" w:hAnsi="Arial" w:cs="Arial"/>
        </w:rPr>
        <w:t>ság) és környezeti szempontból</w:t>
      </w:r>
    </w:p>
    <w:p w:rsidR="005C20CE" w:rsidRPr="00674F8D" w:rsidRDefault="005C20CE" w:rsidP="00F21A67">
      <w:pPr>
        <w:pStyle w:val="Listaszerbekezds"/>
        <w:numPr>
          <w:ilvl w:val="0"/>
          <w:numId w:val="2"/>
        </w:numPr>
        <w:spacing w:after="0" w:line="480" w:lineRule="auto"/>
        <w:ind w:left="360"/>
        <w:jc w:val="both"/>
        <w:rPr>
          <w:rFonts w:ascii="Arial" w:hAnsi="Arial" w:cs="Arial"/>
        </w:rPr>
      </w:pPr>
      <w:proofErr w:type="spellStart"/>
      <w:r w:rsidRPr="00674F8D">
        <w:rPr>
          <w:rFonts w:ascii="Arial" w:hAnsi="Arial" w:cs="Arial"/>
        </w:rPr>
        <w:t>Invazív</w:t>
      </w:r>
      <w:proofErr w:type="spellEnd"/>
      <w:r w:rsidRPr="00674F8D">
        <w:rPr>
          <w:rFonts w:ascii="Arial" w:hAnsi="Arial" w:cs="Arial"/>
        </w:rPr>
        <w:t xml:space="preserve"> növényfajok felmérése és visszaszorítási lehetőségei egyes helyi természetvédelmi területeken</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városi közparkok eredeti funkciójától eltérő használatának következményei, a Budapest V. ker. Erzsébet tér terhelhetőségének vizsgálata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városi közparkok funkcióival kapcsolatos lakossági elvárások napjainkban, javaslat a Gellért-hegy közpark funkcióira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Közparkokban alkalmazható új anyagok, műszaki megoldások, technológiák ismertetése konkrét példákon keresztül</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Utcai fasor és közvilágítási rendszer telepítésének kölcsönhatásai, javaslat hatékony telepítési normákra</w:t>
      </w:r>
    </w:p>
    <w:p w:rsidR="005C20CE"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Budapest idős fasorainak vizsgálata, javaslat a faállomány kezelésére, cseréjére</w:t>
      </w:r>
    </w:p>
    <w:p w:rsidR="00A27178" w:rsidRPr="00674F8D" w:rsidRDefault="005C20CE" w:rsidP="00F21A67">
      <w:pPr>
        <w:pStyle w:val="Listaszerbekezds"/>
        <w:numPr>
          <w:ilvl w:val="0"/>
          <w:numId w:val="2"/>
        </w:numPr>
        <w:spacing w:after="0" w:line="480" w:lineRule="auto"/>
        <w:ind w:left="360"/>
        <w:jc w:val="both"/>
        <w:rPr>
          <w:rFonts w:ascii="Arial" w:hAnsi="Arial" w:cs="Arial"/>
        </w:rPr>
      </w:pPr>
      <w:r w:rsidRPr="00674F8D">
        <w:rPr>
          <w:rFonts w:ascii="Arial" w:hAnsi="Arial" w:cs="Arial"/>
        </w:rPr>
        <w:t>A klímaváltozás következtében kialakuló szélsőséges időjárási eseményekhez való alkalmazkodás lehetőségei Budapesten (tanulmány és terv)</w:t>
      </w:r>
    </w:p>
    <w:sectPr w:rsidR="00A27178" w:rsidRPr="00674F8D" w:rsidSect="00A2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92F"/>
    <w:multiLevelType w:val="hybridMultilevel"/>
    <w:tmpl w:val="9B7447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D3F5A71"/>
    <w:multiLevelType w:val="hybridMultilevel"/>
    <w:tmpl w:val="17FA17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C20CE"/>
    <w:rsid w:val="000012D2"/>
    <w:rsid w:val="00002A92"/>
    <w:rsid w:val="00012ADF"/>
    <w:rsid w:val="00012D55"/>
    <w:rsid w:val="00035AFA"/>
    <w:rsid w:val="000412DE"/>
    <w:rsid w:val="0005343E"/>
    <w:rsid w:val="00053AE4"/>
    <w:rsid w:val="000618D5"/>
    <w:rsid w:val="00067054"/>
    <w:rsid w:val="0007113E"/>
    <w:rsid w:val="0007583F"/>
    <w:rsid w:val="000B653F"/>
    <w:rsid w:val="000E7AEF"/>
    <w:rsid w:val="001018E6"/>
    <w:rsid w:val="00112739"/>
    <w:rsid w:val="0016014E"/>
    <w:rsid w:val="00173FB2"/>
    <w:rsid w:val="001810E9"/>
    <w:rsid w:val="0019586D"/>
    <w:rsid w:val="001A3079"/>
    <w:rsid w:val="001A33BE"/>
    <w:rsid w:val="001B6159"/>
    <w:rsid w:val="001F1448"/>
    <w:rsid w:val="00200AE3"/>
    <w:rsid w:val="0021226D"/>
    <w:rsid w:val="002816C7"/>
    <w:rsid w:val="002B52C4"/>
    <w:rsid w:val="002C41C7"/>
    <w:rsid w:val="00303CE8"/>
    <w:rsid w:val="00306A9B"/>
    <w:rsid w:val="00352157"/>
    <w:rsid w:val="00374A1F"/>
    <w:rsid w:val="003A161B"/>
    <w:rsid w:val="003C7448"/>
    <w:rsid w:val="003D612E"/>
    <w:rsid w:val="003E6795"/>
    <w:rsid w:val="003F1462"/>
    <w:rsid w:val="003F1FD0"/>
    <w:rsid w:val="003F4145"/>
    <w:rsid w:val="003F7444"/>
    <w:rsid w:val="00405FA6"/>
    <w:rsid w:val="00423D6A"/>
    <w:rsid w:val="004254E5"/>
    <w:rsid w:val="0042606A"/>
    <w:rsid w:val="00452807"/>
    <w:rsid w:val="00453B96"/>
    <w:rsid w:val="004616EF"/>
    <w:rsid w:val="0048223A"/>
    <w:rsid w:val="0049272B"/>
    <w:rsid w:val="004C547D"/>
    <w:rsid w:val="004C6010"/>
    <w:rsid w:val="004E04AE"/>
    <w:rsid w:val="004F0660"/>
    <w:rsid w:val="004F327A"/>
    <w:rsid w:val="004F44D2"/>
    <w:rsid w:val="004F517D"/>
    <w:rsid w:val="00507B20"/>
    <w:rsid w:val="005151FF"/>
    <w:rsid w:val="00515FA7"/>
    <w:rsid w:val="005308C8"/>
    <w:rsid w:val="005352EE"/>
    <w:rsid w:val="00542130"/>
    <w:rsid w:val="00543D1F"/>
    <w:rsid w:val="00562D4D"/>
    <w:rsid w:val="00577A24"/>
    <w:rsid w:val="00580668"/>
    <w:rsid w:val="005C20CE"/>
    <w:rsid w:val="005C44FC"/>
    <w:rsid w:val="005D524D"/>
    <w:rsid w:val="005D6DA8"/>
    <w:rsid w:val="00611771"/>
    <w:rsid w:val="0062216D"/>
    <w:rsid w:val="006257AB"/>
    <w:rsid w:val="0063046C"/>
    <w:rsid w:val="00630E35"/>
    <w:rsid w:val="00631D8D"/>
    <w:rsid w:val="00674F8D"/>
    <w:rsid w:val="006862AF"/>
    <w:rsid w:val="00687472"/>
    <w:rsid w:val="00694930"/>
    <w:rsid w:val="006A3D49"/>
    <w:rsid w:val="006D25C2"/>
    <w:rsid w:val="006E01A7"/>
    <w:rsid w:val="00712AC5"/>
    <w:rsid w:val="007454DB"/>
    <w:rsid w:val="00771789"/>
    <w:rsid w:val="00776791"/>
    <w:rsid w:val="0078730E"/>
    <w:rsid w:val="007A206B"/>
    <w:rsid w:val="007B00A8"/>
    <w:rsid w:val="007B47F2"/>
    <w:rsid w:val="007C1942"/>
    <w:rsid w:val="007C24C6"/>
    <w:rsid w:val="007C5C30"/>
    <w:rsid w:val="007E067A"/>
    <w:rsid w:val="00805E91"/>
    <w:rsid w:val="00840E04"/>
    <w:rsid w:val="00850939"/>
    <w:rsid w:val="008537F8"/>
    <w:rsid w:val="00866817"/>
    <w:rsid w:val="00866B99"/>
    <w:rsid w:val="008945DC"/>
    <w:rsid w:val="008B5CF1"/>
    <w:rsid w:val="008C086A"/>
    <w:rsid w:val="008D069C"/>
    <w:rsid w:val="00914F88"/>
    <w:rsid w:val="00932334"/>
    <w:rsid w:val="00936521"/>
    <w:rsid w:val="0095506F"/>
    <w:rsid w:val="00962C95"/>
    <w:rsid w:val="00973012"/>
    <w:rsid w:val="00973B6D"/>
    <w:rsid w:val="009D54D7"/>
    <w:rsid w:val="009E4728"/>
    <w:rsid w:val="009E6883"/>
    <w:rsid w:val="00A0426E"/>
    <w:rsid w:val="00A27178"/>
    <w:rsid w:val="00A33DC1"/>
    <w:rsid w:val="00A51866"/>
    <w:rsid w:val="00A62AA7"/>
    <w:rsid w:val="00A666EE"/>
    <w:rsid w:val="00A82966"/>
    <w:rsid w:val="00A8297C"/>
    <w:rsid w:val="00AA1F8F"/>
    <w:rsid w:val="00AB5500"/>
    <w:rsid w:val="00AB756F"/>
    <w:rsid w:val="00AC034C"/>
    <w:rsid w:val="00AF413E"/>
    <w:rsid w:val="00AF7059"/>
    <w:rsid w:val="00B334EA"/>
    <w:rsid w:val="00B35407"/>
    <w:rsid w:val="00B364F3"/>
    <w:rsid w:val="00B408A7"/>
    <w:rsid w:val="00B52D10"/>
    <w:rsid w:val="00B6482D"/>
    <w:rsid w:val="00B72B85"/>
    <w:rsid w:val="00B774BF"/>
    <w:rsid w:val="00B8100E"/>
    <w:rsid w:val="00B84BF3"/>
    <w:rsid w:val="00BB25FF"/>
    <w:rsid w:val="00BB3EBF"/>
    <w:rsid w:val="00BC2ED0"/>
    <w:rsid w:val="00BC4383"/>
    <w:rsid w:val="00BC65C8"/>
    <w:rsid w:val="00BC6DB7"/>
    <w:rsid w:val="00BD2C91"/>
    <w:rsid w:val="00BD4F93"/>
    <w:rsid w:val="00BF449F"/>
    <w:rsid w:val="00C1318C"/>
    <w:rsid w:val="00C322A1"/>
    <w:rsid w:val="00C65357"/>
    <w:rsid w:val="00C76B7D"/>
    <w:rsid w:val="00C85414"/>
    <w:rsid w:val="00C86207"/>
    <w:rsid w:val="00C97033"/>
    <w:rsid w:val="00CC3073"/>
    <w:rsid w:val="00CE3305"/>
    <w:rsid w:val="00CF01B5"/>
    <w:rsid w:val="00CF2923"/>
    <w:rsid w:val="00CF381E"/>
    <w:rsid w:val="00D031BE"/>
    <w:rsid w:val="00D11D13"/>
    <w:rsid w:val="00D4772F"/>
    <w:rsid w:val="00D53C83"/>
    <w:rsid w:val="00D66C24"/>
    <w:rsid w:val="00D737E9"/>
    <w:rsid w:val="00D74C6C"/>
    <w:rsid w:val="00D86D30"/>
    <w:rsid w:val="00DC51C2"/>
    <w:rsid w:val="00DF7372"/>
    <w:rsid w:val="00E236BC"/>
    <w:rsid w:val="00E2413F"/>
    <w:rsid w:val="00E625AC"/>
    <w:rsid w:val="00E67E34"/>
    <w:rsid w:val="00E74382"/>
    <w:rsid w:val="00EA75EF"/>
    <w:rsid w:val="00EB3805"/>
    <w:rsid w:val="00EC32C6"/>
    <w:rsid w:val="00F045CE"/>
    <w:rsid w:val="00F21A67"/>
    <w:rsid w:val="00F306DC"/>
    <w:rsid w:val="00F43D3C"/>
    <w:rsid w:val="00F617CD"/>
    <w:rsid w:val="00F64E3B"/>
    <w:rsid w:val="00F66E87"/>
    <w:rsid w:val="00F87B29"/>
    <w:rsid w:val="00F97278"/>
    <w:rsid w:val="00FE4FF6"/>
    <w:rsid w:val="00FE5D2E"/>
    <w:rsid w:val="00FF39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D736"/>
  <w15:chartTrackingRefBased/>
  <w15:docId w15:val="{209D4469-93B5-4771-81F0-15CD05C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A2717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6040</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Brigitta</dc:creator>
  <cp:keywords/>
  <dc:description/>
  <cp:lastModifiedBy>Szőke Brigitta</cp:lastModifiedBy>
  <cp:revision>2</cp:revision>
  <dcterms:created xsi:type="dcterms:W3CDTF">2017-01-03T14:20:00Z</dcterms:created>
  <dcterms:modified xsi:type="dcterms:W3CDTF">2017-01-03T14:20:00Z</dcterms:modified>
</cp:coreProperties>
</file>